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AC" w:rsidRDefault="00B4260F" w:rsidP="00B4260F">
      <w:pPr>
        <w:pStyle w:val="Heading2"/>
      </w:pPr>
      <w:bookmarkStart w:id="0" w:name="_GoBack"/>
      <w:bookmarkEnd w:id="0"/>
      <w:r w:rsidRPr="00B4260F">
        <w:t xml:space="preserve">Division of </w:t>
      </w:r>
      <w:r w:rsidR="007B1936">
        <w:t>R</w:t>
      </w:r>
      <w:r w:rsidRPr="00B4260F">
        <w:t>esponsibilities</w:t>
      </w:r>
    </w:p>
    <w:p w:rsidR="009F69A2" w:rsidRDefault="00B4260F" w:rsidP="00B4260F">
      <w:pPr>
        <w:rPr>
          <w:rFonts w:ascii="Calibri" w:hAnsi="Calibri"/>
          <w:szCs w:val="22"/>
        </w:rPr>
      </w:pPr>
      <w:r w:rsidRPr="00B4260F">
        <w:rPr>
          <w:rFonts w:ascii="Calibri" w:hAnsi="Calibri"/>
          <w:szCs w:val="22"/>
        </w:rPr>
        <w:t xml:space="preserve">The aim of this document is to outline the duties undertaken in a clinical trial. It </w:t>
      </w:r>
      <w:r w:rsidR="00F9759F">
        <w:rPr>
          <w:rFonts w:ascii="Calibri" w:hAnsi="Calibri"/>
          <w:szCs w:val="22"/>
        </w:rPr>
        <w:t>summari</w:t>
      </w:r>
      <w:r w:rsidR="00187886">
        <w:rPr>
          <w:rFonts w:ascii="Calibri" w:hAnsi="Calibri"/>
          <w:szCs w:val="22"/>
        </w:rPr>
        <w:t>s</w:t>
      </w:r>
      <w:r w:rsidR="00F9759F">
        <w:rPr>
          <w:rFonts w:ascii="Calibri" w:hAnsi="Calibri"/>
          <w:szCs w:val="22"/>
        </w:rPr>
        <w:t xml:space="preserve">es </w:t>
      </w:r>
      <w:r w:rsidRPr="00B4260F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>responsibilities th</w:t>
      </w:r>
      <w:r w:rsidR="00552569">
        <w:rPr>
          <w:rFonts w:ascii="Calibri" w:hAnsi="Calibri"/>
          <w:szCs w:val="22"/>
        </w:rPr>
        <w:t>at</w:t>
      </w:r>
      <w:r w:rsidR="00187886">
        <w:rPr>
          <w:rFonts w:ascii="Calibri" w:hAnsi="Calibri"/>
          <w:szCs w:val="22"/>
        </w:rPr>
        <w:t xml:space="preserve"> may</w:t>
      </w:r>
      <w:r w:rsidR="00552569">
        <w:rPr>
          <w:rFonts w:ascii="Calibri" w:hAnsi="Calibri"/>
          <w:szCs w:val="22"/>
        </w:rPr>
        <w:t xml:space="preserve"> need to be assigned </w:t>
      </w:r>
      <w:r>
        <w:rPr>
          <w:rFonts w:ascii="Calibri" w:hAnsi="Calibri"/>
          <w:szCs w:val="22"/>
        </w:rPr>
        <w:t>and allow</w:t>
      </w:r>
      <w:r w:rsidR="00F9759F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 you to start thinking about who </w:t>
      </w:r>
      <w:r w:rsidRPr="00B4260F">
        <w:rPr>
          <w:rFonts w:ascii="Calibri" w:hAnsi="Calibri"/>
          <w:szCs w:val="22"/>
        </w:rPr>
        <w:t xml:space="preserve">will be responsible for </w:t>
      </w:r>
      <w:r w:rsidR="00F9759F">
        <w:rPr>
          <w:rFonts w:ascii="Calibri" w:hAnsi="Calibri"/>
          <w:szCs w:val="22"/>
        </w:rPr>
        <w:t xml:space="preserve">these </w:t>
      </w:r>
      <w:r w:rsidRPr="00B4260F">
        <w:rPr>
          <w:rFonts w:ascii="Calibri" w:hAnsi="Calibri"/>
          <w:szCs w:val="22"/>
        </w:rPr>
        <w:t>specific duties</w:t>
      </w:r>
      <w:r w:rsidR="00187886">
        <w:rPr>
          <w:rFonts w:ascii="Calibri" w:hAnsi="Calibri"/>
          <w:szCs w:val="22"/>
        </w:rPr>
        <w:t>, by country and organisation.</w:t>
      </w:r>
      <w:r w:rsidR="005D2A79">
        <w:rPr>
          <w:rFonts w:ascii="Calibri" w:hAnsi="Calibri"/>
          <w:szCs w:val="22"/>
        </w:rPr>
        <w:t xml:space="preserve"> Any future contract negotiation will also be built around </w:t>
      </w:r>
      <w:r w:rsidR="00FB3E85">
        <w:rPr>
          <w:rFonts w:ascii="Calibri" w:hAnsi="Calibri"/>
          <w:szCs w:val="22"/>
        </w:rPr>
        <w:t>this information. U</w:t>
      </w:r>
      <w:r w:rsidR="005D2A79">
        <w:rPr>
          <w:rFonts w:ascii="Calibri" w:hAnsi="Calibri"/>
          <w:szCs w:val="22"/>
        </w:rPr>
        <w:t xml:space="preserve">ltimately </w:t>
      </w:r>
      <w:r w:rsidR="00FB3E85">
        <w:rPr>
          <w:rFonts w:ascii="Calibri" w:hAnsi="Calibri"/>
          <w:szCs w:val="22"/>
        </w:rPr>
        <w:t>this information coul</w:t>
      </w:r>
      <w:r w:rsidR="007B1936">
        <w:rPr>
          <w:rFonts w:ascii="Calibri" w:hAnsi="Calibri"/>
          <w:szCs w:val="22"/>
        </w:rPr>
        <w:t>d be included in a contract and</w:t>
      </w:r>
      <w:r w:rsidR="005D2A79">
        <w:rPr>
          <w:rFonts w:ascii="Calibri" w:hAnsi="Calibri"/>
          <w:szCs w:val="22"/>
        </w:rPr>
        <w:t xml:space="preserve"> sign off by relevant participating organisations.</w:t>
      </w:r>
      <w:r w:rsidR="00F9759F">
        <w:rPr>
          <w:rFonts w:ascii="Calibri" w:hAnsi="Calibri"/>
          <w:szCs w:val="22"/>
        </w:rPr>
        <w:t xml:space="preserve"> </w:t>
      </w:r>
    </w:p>
    <w:p w:rsidR="00F9759F" w:rsidRPr="00FB3E85" w:rsidRDefault="00F9759F" w:rsidP="00B4260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This list is only a snapshot of high level activities. The full list can be found here </w:t>
      </w:r>
      <w:hyperlink r:id="rId8" w:history="1">
        <w:r w:rsidR="00EE3E4E" w:rsidRPr="00DC376D">
          <w:rPr>
            <w:rStyle w:val="Hyperlink"/>
            <w:rFonts w:ascii="Calibri" w:hAnsi="Calibri"/>
            <w:szCs w:val="22"/>
          </w:rPr>
          <w:t>http://researchsupport.admin.ox.ac.uk/ctrg/resources</w:t>
        </w:r>
      </w:hyperlink>
      <w:r>
        <w:rPr>
          <w:rFonts w:ascii="Calibri" w:hAnsi="Calibri"/>
          <w:szCs w:val="22"/>
        </w:rPr>
        <w:t xml:space="preserve">. </w:t>
      </w:r>
      <w:r w:rsidR="00B4260F">
        <w:rPr>
          <w:rFonts w:ascii="Calibri" w:hAnsi="Calibri"/>
          <w:szCs w:val="22"/>
        </w:rPr>
        <w:t xml:space="preserve">It would be expected that the </w:t>
      </w:r>
      <w:r w:rsidR="00B97F67">
        <w:rPr>
          <w:rFonts w:ascii="Calibri" w:hAnsi="Calibri"/>
          <w:szCs w:val="22"/>
        </w:rPr>
        <w:t xml:space="preserve">complete </w:t>
      </w:r>
      <w:r w:rsidR="009F69A2">
        <w:rPr>
          <w:rFonts w:ascii="Calibri" w:hAnsi="Calibri"/>
          <w:szCs w:val="22"/>
        </w:rPr>
        <w:t xml:space="preserve">and final full list </w:t>
      </w:r>
      <w:r w:rsidR="00971790">
        <w:rPr>
          <w:rFonts w:ascii="Calibri" w:hAnsi="Calibri"/>
          <w:szCs w:val="22"/>
        </w:rPr>
        <w:t>w</w:t>
      </w:r>
      <w:r>
        <w:rPr>
          <w:rFonts w:ascii="Calibri" w:hAnsi="Calibri"/>
          <w:szCs w:val="22"/>
        </w:rPr>
        <w:t>ould</w:t>
      </w:r>
      <w:r w:rsidR="00971790">
        <w:rPr>
          <w:rFonts w:ascii="Calibri" w:hAnsi="Calibri"/>
          <w:szCs w:val="22"/>
        </w:rPr>
        <w:t xml:space="preserve"> be </w:t>
      </w:r>
      <w:r w:rsidR="00B4260F" w:rsidRPr="00B4260F">
        <w:rPr>
          <w:rFonts w:ascii="Calibri" w:hAnsi="Calibri"/>
          <w:szCs w:val="22"/>
        </w:rPr>
        <w:t xml:space="preserve">signed </w:t>
      </w:r>
      <w:r w:rsidR="00971790">
        <w:rPr>
          <w:rFonts w:ascii="Calibri" w:hAnsi="Calibri"/>
          <w:szCs w:val="22"/>
        </w:rPr>
        <w:t xml:space="preserve">by </w:t>
      </w:r>
      <w:r w:rsidR="00B4260F" w:rsidRPr="00B4260F">
        <w:rPr>
          <w:rFonts w:ascii="Calibri" w:hAnsi="Calibri"/>
          <w:szCs w:val="22"/>
        </w:rPr>
        <w:t>the</w:t>
      </w:r>
      <w:r w:rsidR="005D2A79">
        <w:rPr>
          <w:rFonts w:ascii="Calibri" w:hAnsi="Calibri"/>
          <w:szCs w:val="22"/>
        </w:rPr>
        <w:t xml:space="preserve"> </w:t>
      </w:r>
      <w:r w:rsidR="00B4260F" w:rsidRPr="00B4260F">
        <w:rPr>
          <w:rFonts w:ascii="Calibri" w:hAnsi="Calibri"/>
          <w:szCs w:val="22"/>
        </w:rPr>
        <w:t xml:space="preserve">Chief </w:t>
      </w:r>
      <w:r w:rsidR="00B4260F" w:rsidRPr="00FB3E85">
        <w:rPr>
          <w:rFonts w:ascii="Calibri" w:hAnsi="Calibri"/>
          <w:szCs w:val="22"/>
        </w:rPr>
        <w:t>Investigator, C</w:t>
      </w:r>
      <w:r w:rsidR="00552569" w:rsidRPr="00FB3E85">
        <w:rPr>
          <w:rFonts w:ascii="Calibri" w:hAnsi="Calibri"/>
          <w:szCs w:val="22"/>
        </w:rPr>
        <w:t xml:space="preserve">linical Trials Unit and Sponsor. </w:t>
      </w:r>
    </w:p>
    <w:p w:rsidR="003D70DE" w:rsidRPr="00FB3E85" w:rsidRDefault="009F69A2" w:rsidP="003D70DE">
      <w:pPr>
        <w:rPr>
          <w:rFonts w:ascii="Calibri" w:hAnsi="Calibri"/>
          <w:szCs w:val="22"/>
        </w:rPr>
      </w:pPr>
      <w:r w:rsidRPr="00FB3E85">
        <w:rPr>
          <w:rFonts w:ascii="Calibri" w:hAnsi="Calibri"/>
          <w:szCs w:val="22"/>
        </w:rPr>
        <w:t xml:space="preserve">N.B Top level </w:t>
      </w:r>
      <w:r w:rsidR="003D70DE" w:rsidRPr="00FB3E85">
        <w:rPr>
          <w:rFonts w:ascii="Calibri" w:hAnsi="Calibri"/>
          <w:szCs w:val="22"/>
        </w:rPr>
        <w:t>categories</w:t>
      </w:r>
      <w:r w:rsidRPr="00FB3E85">
        <w:rPr>
          <w:rFonts w:ascii="Calibri" w:hAnsi="Calibri"/>
          <w:szCs w:val="22"/>
        </w:rPr>
        <w:t xml:space="preserve"> should not be changed. Subdivision can be changed or added to</w:t>
      </w:r>
      <w:r w:rsidR="00FB3E85" w:rsidRPr="00FB3E85">
        <w:rPr>
          <w:rFonts w:ascii="Calibri" w:hAnsi="Calibri"/>
          <w:szCs w:val="22"/>
        </w:rPr>
        <w:t xml:space="preserve"> in order to</w:t>
      </w:r>
      <w:r w:rsidRPr="00FB3E85">
        <w:rPr>
          <w:rFonts w:ascii="Calibri" w:hAnsi="Calibri"/>
          <w:szCs w:val="22"/>
        </w:rPr>
        <w:t xml:space="preserve"> </w:t>
      </w:r>
      <w:r w:rsidR="00E905AE">
        <w:rPr>
          <w:rFonts w:ascii="Calibri" w:hAnsi="Calibri"/>
          <w:szCs w:val="22"/>
        </w:rPr>
        <w:t>meet</w:t>
      </w:r>
      <w:r w:rsidR="003D70DE" w:rsidRPr="00FB3E85">
        <w:rPr>
          <w:rFonts w:ascii="Calibri" w:hAnsi="Calibri"/>
          <w:szCs w:val="22"/>
        </w:rPr>
        <w:t xml:space="preserve"> </w:t>
      </w:r>
      <w:r w:rsidRPr="00FB3E85">
        <w:rPr>
          <w:rFonts w:ascii="Calibri" w:hAnsi="Calibri"/>
          <w:szCs w:val="22"/>
        </w:rPr>
        <w:t xml:space="preserve">specific trial requirements but </w:t>
      </w:r>
      <w:r w:rsidR="00231762">
        <w:rPr>
          <w:rFonts w:ascii="Calibri" w:hAnsi="Calibri"/>
          <w:szCs w:val="22"/>
        </w:rPr>
        <w:t xml:space="preserve">these changes </w:t>
      </w:r>
      <w:r w:rsidRPr="00FB3E85">
        <w:rPr>
          <w:rFonts w:ascii="Calibri" w:hAnsi="Calibri"/>
          <w:szCs w:val="22"/>
        </w:rPr>
        <w:t xml:space="preserve">must be highlighted in red. </w:t>
      </w:r>
      <w:r w:rsidR="003D70DE" w:rsidRPr="00FB3E85">
        <w:rPr>
          <w:rFonts w:ascii="Calibri" w:hAnsi="Calibri"/>
          <w:szCs w:val="22"/>
        </w:rPr>
        <w:t xml:space="preserve">When assigning a responsible one of the following should be added to </w:t>
      </w:r>
      <w:r w:rsidR="00BF69D4">
        <w:rPr>
          <w:rFonts w:ascii="Calibri" w:hAnsi="Calibri"/>
          <w:szCs w:val="22"/>
        </w:rPr>
        <w:t xml:space="preserve">every </w:t>
      </w:r>
      <w:r w:rsidR="003D70DE" w:rsidRPr="00FB3E85">
        <w:rPr>
          <w:rFonts w:ascii="Calibri" w:hAnsi="Calibri"/>
          <w:szCs w:val="22"/>
        </w:rPr>
        <w:t>cell;</w:t>
      </w:r>
    </w:p>
    <w:p w:rsidR="003D70DE" w:rsidRPr="00FB3E85" w:rsidRDefault="00BF69D4" w:rsidP="003D70DE">
      <w:pPr>
        <w:pStyle w:val="ListParagraph"/>
        <w:numPr>
          <w:ilvl w:val="0"/>
          <w:numId w:val="30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‘A’ - </w:t>
      </w:r>
      <w:r w:rsidR="003D70DE" w:rsidRPr="00FB3E85">
        <w:rPr>
          <w:rFonts w:ascii="Calibri" w:hAnsi="Calibri"/>
          <w:szCs w:val="22"/>
        </w:rPr>
        <w:t xml:space="preserve">‘for trial’ if the organisation is taking on that particular responsibility for the whole trial, </w:t>
      </w:r>
    </w:p>
    <w:p w:rsidR="003D70DE" w:rsidRPr="00FB3E85" w:rsidRDefault="00BF69D4" w:rsidP="003D70DE">
      <w:pPr>
        <w:pStyle w:val="ListParagraph"/>
        <w:numPr>
          <w:ilvl w:val="0"/>
          <w:numId w:val="30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‘B’ - </w:t>
      </w:r>
      <w:r w:rsidR="00FB3E85" w:rsidRPr="00FB3E85">
        <w:rPr>
          <w:rFonts w:ascii="Calibri" w:hAnsi="Calibri"/>
          <w:szCs w:val="22"/>
        </w:rPr>
        <w:t>‘</w:t>
      </w:r>
      <w:r w:rsidR="003D70DE" w:rsidRPr="00FB3E85">
        <w:rPr>
          <w:rFonts w:ascii="Calibri" w:hAnsi="Calibri"/>
          <w:szCs w:val="22"/>
        </w:rPr>
        <w:t>country specific</w:t>
      </w:r>
      <w:r w:rsidR="00FB3E85" w:rsidRPr="00FB3E85">
        <w:rPr>
          <w:rFonts w:ascii="Calibri" w:hAnsi="Calibri"/>
          <w:szCs w:val="22"/>
        </w:rPr>
        <w:t>’</w:t>
      </w:r>
      <w:r w:rsidR="003D70DE" w:rsidRPr="00FB3E85">
        <w:rPr>
          <w:rFonts w:ascii="Calibri" w:hAnsi="Calibri"/>
          <w:szCs w:val="22"/>
        </w:rPr>
        <w:t xml:space="preserve"> if the organisation is only taking on that responsibility in their particular country</w:t>
      </w:r>
      <w:r w:rsidR="00E905AE">
        <w:rPr>
          <w:rFonts w:ascii="Calibri" w:hAnsi="Calibri"/>
          <w:szCs w:val="22"/>
        </w:rPr>
        <w:t>,</w:t>
      </w:r>
    </w:p>
    <w:p w:rsidR="00B4260F" w:rsidRPr="00FB3E85" w:rsidRDefault="00BF69D4" w:rsidP="00B635A9">
      <w:pPr>
        <w:pStyle w:val="ListParagraph"/>
        <w:numPr>
          <w:ilvl w:val="0"/>
          <w:numId w:val="30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‘C’ - </w:t>
      </w:r>
      <w:r w:rsidR="00FB3E85" w:rsidRPr="00FB3E85">
        <w:rPr>
          <w:rFonts w:ascii="Calibri" w:hAnsi="Calibri"/>
          <w:szCs w:val="22"/>
        </w:rPr>
        <w:t>‘</w:t>
      </w:r>
      <w:r w:rsidR="003D70DE" w:rsidRPr="00FB3E85">
        <w:rPr>
          <w:rFonts w:ascii="Calibri" w:hAnsi="Calibri"/>
          <w:szCs w:val="22"/>
        </w:rPr>
        <w:t>no responsibility</w:t>
      </w:r>
      <w:r w:rsidR="00FB3E85" w:rsidRPr="00FB3E85">
        <w:rPr>
          <w:rFonts w:ascii="Calibri" w:hAnsi="Calibri"/>
          <w:szCs w:val="22"/>
        </w:rPr>
        <w:t>’ if that organisation is not taking on that responsibility</w:t>
      </w:r>
      <w:r w:rsidR="003D70DE" w:rsidRPr="00FB3E85">
        <w:rPr>
          <w:rFonts w:ascii="Calibri" w:hAnsi="Calibri"/>
          <w:szCs w:val="22"/>
        </w:rPr>
        <w:t>.</w:t>
      </w:r>
      <w:r w:rsidR="00FB3E85" w:rsidRPr="00FB3E85">
        <w:rPr>
          <w:rFonts w:ascii="Calibri" w:hAnsi="Calibri"/>
          <w:szCs w:val="22"/>
        </w:rPr>
        <w:t xml:space="preserve"> Note for each duty there should be at least one organisation assigned unless the responsibility is not relevant for the trial and then </w:t>
      </w:r>
      <w:r w:rsidR="00EE3E4E" w:rsidRPr="00FB3E85">
        <w:rPr>
          <w:rFonts w:ascii="Calibri" w:hAnsi="Calibri"/>
          <w:szCs w:val="22"/>
        </w:rPr>
        <w:t>N/A</w:t>
      </w:r>
      <w:r w:rsidR="00FB3E85" w:rsidRPr="00FB3E85">
        <w:rPr>
          <w:rFonts w:ascii="Calibri" w:hAnsi="Calibri"/>
          <w:szCs w:val="22"/>
        </w:rPr>
        <w:t xml:space="preserve"> should be used.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1"/>
        <w:gridCol w:w="1819"/>
        <w:gridCol w:w="6116"/>
        <w:gridCol w:w="1396"/>
        <w:gridCol w:w="1419"/>
        <w:gridCol w:w="1416"/>
        <w:gridCol w:w="1099"/>
      </w:tblGrid>
      <w:tr w:rsidR="00505868" w:rsidRPr="006B1651" w:rsidTr="00E905A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FFFFFF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FFFFFF"/>
                <w:sz w:val="20"/>
                <w:szCs w:val="20"/>
                <w:lang w:eastAsia="en-GB"/>
              </w:rPr>
              <w:t>Activities (listed in study conduct order)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:rsidR="00505868" w:rsidRPr="006B1651" w:rsidRDefault="009F69A2" w:rsidP="009F69A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  <w:lang w:eastAsia="en-GB"/>
              </w:rPr>
              <w:t xml:space="preserve">Name of Organisation </w:t>
            </w: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  <w:t>Top level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  <w:t>Subdivision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505868" w:rsidRPr="006B1651" w:rsidRDefault="009F69A2" w:rsidP="009F69A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  <w:t>&lt;insert name of organisation&gt;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505868" w:rsidRPr="006B1651" w:rsidRDefault="009F69A2" w:rsidP="009F69A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  <w:t>&lt;insert name of organisation&gt;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505868" w:rsidRPr="006B1651" w:rsidRDefault="009F69A2" w:rsidP="009F69A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  <w:t>&lt;insert name of organisation&gt;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</w:tcPr>
          <w:p w:rsidR="00505868" w:rsidRPr="006B1651" w:rsidRDefault="009F69A2" w:rsidP="009F69A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n-GB"/>
              </w:rPr>
              <w:t>&lt;insert name of organisation&gt;</w:t>
            </w: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Funding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755C2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Develop</w:t>
            </w:r>
            <w:r w:rsidR="00755C2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and secure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the budget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5C1AC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187886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Budget management</w:t>
            </w:r>
            <w:r w:rsidR="00755C2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187886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r</w:t>
            </w:r>
            <w:r w:rsidR="00755C2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eport to funder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Trial design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5C1AC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Scientific rationale, clinical relevance, clinical feasibility, schedule of tests/events and recruitment strategy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Statistical advice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lastRenderedPageBreak/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Protocol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5C1AC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E905AE" w:rsidP="00E905AE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Obtain EudraCT number and relevant registration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05AE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E905AE" w:rsidRPr="006B1651" w:rsidRDefault="00E905AE" w:rsidP="005C1AC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E905AE" w:rsidRPr="006B1651" w:rsidRDefault="00E905AE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905AE" w:rsidRPr="006B1651" w:rsidRDefault="00E905AE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Protocol and supporti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ng document preparation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E905AE" w:rsidRPr="006B1651" w:rsidRDefault="00E905AE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E905AE" w:rsidRPr="006B1651" w:rsidRDefault="00E905AE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E905AE" w:rsidRPr="006B1651" w:rsidRDefault="00E905AE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E905AE" w:rsidRPr="006B1651" w:rsidRDefault="00E905AE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05AE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E905AE" w:rsidRPr="006B1651" w:rsidRDefault="00E905AE" w:rsidP="005C1AC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E905AE" w:rsidRPr="006B1651" w:rsidRDefault="00E905AE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905AE" w:rsidRPr="006B1651" w:rsidRDefault="00E905AE" w:rsidP="00E905AE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Protocol and supporting document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review (including internal department review) and sign off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E905AE" w:rsidRPr="006B1651" w:rsidRDefault="00E905AE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E905AE" w:rsidRPr="006B1651" w:rsidRDefault="00E905AE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E905AE" w:rsidRPr="006B1651" w:rsidRDefault="00E905AE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E905AE" w:rsidRPr="006B1651" w:rsidRDefault="00E905AE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Risk Assessment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Develop, review and update risk assessment </w:t>
            </w:r>
            <w:r w:rsidR="00755C2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and monitoring plan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Sponsorship and Insurance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Confirm Sponsorship</w:t>
            </w:r>
            <w:r w:rsidR="00755C2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and Arrange insurance and / or indemnity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Trial Master File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Prepare and maintain Trial Master File (TMF)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Service and Supply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E905AE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Identify appropriate providers</w:t>
            </w:r>
            <w:r w:rsidR="00755C2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/ suppliers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Identify</w:t>
            </w:r>
            <w:r w:rsidR="00B97F6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, negotiate and sign off</w:t>
            </w:r>
            <w:r w:rsidR="00755C2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appropriate contracts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Site Selection and Management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Identify, select and recruit sites /  centre / hubs / investigators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Provide 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information to sites including 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Investigator Site File (ISF)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Activate authorised sites</w:t>
            </w:r>
            <w:r w:rsidR="00EC41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and oversee performance of sites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Site Conduct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9.1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Obtain authorisation from local regulatory bodies (e.g. host organisation)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9.2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Ensure adequate facilities, resources and support are available to conduct the study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Ethics Approval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Prepare</w:t>
            </w:r>
            <w:r w:rsidR="00B97F6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, review, sign off and submit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submission bundle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lastRenderedPageBreak/>
              <w:t>11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Competent Authority Approval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Prepare</w:t>
            </w:r>
            <w:r w:rsidR="00B97F6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, review, sign off and submit</w:t>
            </w:r>
            <w:r w:rsidR="00EC41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submission bundle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Other Approvals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Obtain relevant national host organisation approval e.g.</w:t>
            </w:r>
            <w:r w:rsidR="00EC41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HRA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12.2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Obtain local agreement for trial conduct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Trial Management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13.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Coordinate Investigator meetings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13.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Ensure third parties compliance to appropriate regulations and other requirements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CRF/eCRF design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14.1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B97F67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Design</w:t>
            </w:r>
            <w:r w:rsidR="00B97F6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prepare</w:t>
            </w:r>
            <w:r w:rsidR="00B97F6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, review, test, validate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B97F6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and sign off 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CRF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Database design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15.1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Design</w:t>
            </w:r>
            <w:r w:rsidR="00B97F6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build</w:t>
            </w:r>
            <w:r w:rsidR="00B97F6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, test and validate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database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Data Management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16.1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Oversee or prepare data management plan (DMP)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16.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Data coding</w:t>
            </w:r>
            <w:r w:rsidR="00B97F6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, entry and checks</w:t>
            </w:r>
            <w:r w:rsidR="00EC41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and ultimately database lock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Code breaking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Define</w:t>
            </w:r>
            <w:r w:rsidR="00EC41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and provide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emergency code breaking procedures (if applicable)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IMP management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18.1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Source IMP in line with relevant procurement rules</w:t>
            </w:r>
            <w:r w:rsidR="00EC41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, ensure labelling and QP release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Ensure </w:t>
            </w:r>
            <w:r w:rsidR="00EC41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distribution and 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retention of IMP documentation (e.g. certificate of analysis, IMP packaging sample etc.)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18.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Ensure appropriate destruction of IMP and maintain detailed records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Device management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6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lastRenderedPageBreak/>
              <w:t>19.1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Ensure that investigational medical devices are not used for any purpose other than the conduct of the study, unless specific permission is given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19.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Ensure detailed records are maintained regarding movement from delivery to return / destruction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Sampling handling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E3097E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Oversee, prepare and maintain lab / sample handling manual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5C1AC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20.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Transfer of appropriate analysis results to study database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20.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Organise appropriate retention or disposal of samples on completion of study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Monitoring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21.1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Conduct and document monitoring according to monitoring plan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Audit and Inspection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22.1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Plan and conduct audits appropriate to trial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22.2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Facilitate audits and inspections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Safety Reporting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23.1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Define reportable events in protocol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23.2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Ensure RSI definition, provision and revision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23.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Arrange appropriate systems and data collection documentation related to safety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F69D4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BF69D4" w:rsidRPr="006B1651" w:rsidRDefault="00BF69D4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23.4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BF69D4" w:rsidRPr="006B1651" w:rsidRDefault="00BF69D4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BF69D4" w:rsidRPr="006B1651" w:rsidRDefault="00BF69D4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Prepare, submit and distribute annual safety reports (e.g. DSUR)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BF69D4" w:rsidRPr="006B1651" w:rsidRDefault="00BF69D4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BF69D4" w:rsidRPr="006B1651" w:rsidRDefault="00BF69D4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BF69D4" w:rsidRPr="006B1651" w:rsidRDefault="00BF69D4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BF69D4" w:rsidRPr="006B1651" w:rsidRDefault="00BF69D4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Serious Breach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24.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Report potential serious breaches to Sponsor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24.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Report serious breach to CA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Complaint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25.1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Receipt </w:t>
            </w:r>
            <w:r w:rsidR="00755C2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and investigation 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of compliant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Amendments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26.1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Identify, communicate and implement urgent safety measures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26.2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755C2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Prepare</w:t>
            </w:r>
            <w:r w:rsidR="00755C2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, review, sign off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55C2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and submit 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amendment submission bundle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Committee Management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27.2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EC4128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Coordinate</w:t>
            </w:r>
            <w:r w:rsidR="00755C2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EC41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r</w:t>
            </w:r>
            <w:r w:rsidR="00755C2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eport appropriate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Trial / Project Management Group</w:t>
            </w:r>
            <w:r w:rsidR="00755C2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, Steering and Data Monitoring </w:t>
            </w:r>
            <w:r w:rsidR="00EC41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Committees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Statistical analysis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28.1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Develop statistical analysis plan</w:t>
            </w:r>
            <w:r w:rsidR="00EC41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and c</w:t>
            </w:r>
            <w:r w:rsidR="00EC4128"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onduct statistical analysis (interim and final)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28.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755C22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Prepare, review and </w:t>
            </w:r>
            <w:r w:rsidR="00EC41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s</w:t>
            </w:r>
            <w:r w:rsidR="00505868"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ign off trial report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Publication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29.1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755C2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Prepare</w:t>
            </w:r>
            <w:r w:rsidR="00755C2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, review and submit</w:t>
            </w: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publication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6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Close out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6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30.1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End of trial or early termination communication (including end of study report) to CA, ethics, Sponsor, host organisation as applicable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30.2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Reconcile trial finances</w:t>
            </w:r>
            <w:r w:rsidR="00EC412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and t</w:t>
            </w:r>
            <w:r w:rsidR="00EC4128"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erminate service agreements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Archiving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05868" w:rsidRPr="006B1651" w:rsidTr="00EE3E4E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5C1AC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31.</w:t>
            </w:r>
            <w:r w:rsidR="005C1AC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4A20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6B165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Archive by Named Archivist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05868" w:rsidRPr="006B1651" w:rsidRDefault="00505868" w:rsidP="006B165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</w:tabs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5C1AC1" w:rsidRPr="00A5613A" w:rsidRDefault="00EA0843" w:rsidP="005C1AC1">
      <w:pPr>
        <w:tabs>
          <w:tab w:val="clear" w:pos="567"/>
          <w:tab w:val="clear" w:pos="1134"/>
          <w:tab w:val="clear" w:pos="1701"/>
          <w:tab w:val="clear" w:pos="5670"/>
          <w:tab w:val="clear" w:pos="9072"/>
          <w:tab w:val="left" w:pos="6480"/>
        </w:tabs>
        <w:rPr>
          <w:rFonts w:ascii="Calibri" w:hAnsi="Calibri"/>
          <w:sz w:val="20"/>
          <w:szCs w:val="20"/>
        </w:rPr>
      </w:pPr>
      <w:r w:rsidRPr="00D9366F">
        <w:rPr>
          <w:rFonts w:ascii="Calibri" w:hAnsi="Calibri" w:cs="Arial"/>
          <w:sz w:val="20"/>
        </w:rPr>
        <w:tab/>
      </w:r>
    </w:p>
    <w:sectPr w:rsidR="005C1AC1" w:rsidRPr="00A5613A" w:rsidSect="005C1AC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04" w:right="1134" w:bottom="1021" w:left="1418" w:header="55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A9" w:rsidRDefault="00B635A9" w:rsidP="00C61CAC">
      <w:pPr>
        <w:spacing w:after="0"/>
      </w:pPr>
      <w:r>
        <w:separator/>
      </w:r>
    </w:p>
  </w:endnote>
  <w:endnote w:type="continuationSeparator" w:id="0">
    <w:p w:rsidR="00B635A9" w:rsidRDefault="00B635A9" w:rsidP="00C61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72" w:rsidRPr="00D9366F" w:rsidRDefault="004A2072" w:rsidP="00D9366F">
    <w:pPr>
      <w:spacing w:after="120"/>
      <w:rPr>
        <w:rStyle w:val="PageNumber"/>
        <w:rFonts w:ascii="Calibri" w:hAnsi="Calibri" w:cs="Arial"/>
        <w:sz w:val="16"/>
        <w:szCs w:val="16"/>
      </w:rPr>
    </w:pPr>
    <w:r w:rsidRPr="00D9366F">
      <w:rPr>
        <w:rStyle w:val="PageNumber"/>
        <w:rFonts w:ascii="Calibri" w:hAnsi="Calibri" w:cs="Arial"/>
        <w:sz w:val="16"/>
        <w:szCs w:val="16"/>
      </w:rPr>
      <w:t>© Copyright:</w:t>
    </w:r>
    <w:r>
      <w:rPr>
        <w:rStyle w:val="PageNumber"/>
        <w:rFonts w:ascii="Calibri" w:hAnsi="Calibri" w:cs="Arial"/>
        <w:sz w:val="16"/>
        <w:szCs w:val="16"/>
      </w:rPr>
      <w:t xml:space="preserve"> The University of Oxford 201</w:t>
    </w:r>
    <w:r w:rsidR="00724377">
      <w:rPr>
        <w:rStyle w:val="PageNumber"/>
        <w:rFonts w:ascii="Calibri" w:hAnsi="Calibri" w:cs="Arial"/>
        <w:sz w:val="16"/>
        <w:szCs w:val="16"/>
      </w:rPr>
      <w:t>7</w:t>
    </w:r>
  </w:p>
  <w:p w:rsidR="004A2072" w:rsidRDefault="00B4260F" w:rsidP="00024059">
    <w:pPr>
      <w:pStyle w:val="Footer"/>
      <w:tabs>
        <w:tab w:val="right" w:pos="9639"/>
      </w:tabs>
      <w:spacing w:after="0"/>
    </w:pPr>
    <w:r>
      <w:rPr>
        <w:rFonts w:ascii="Calibri" w:hAnsi="Calibri"/>
        <w:sz w:val="16"/>
        <w:szCs w:val="16"/>
      </w:rPr>
      <w:t>CTRG Form</w:t>
    </w:r>
    <w:r w:rsidR="00BF69D4">
      <w:rPr>
        <w:rFonts w:ascii="Calibri" w:hAnsi="Calibri"/>
        <w:sz w:val="16"/>
        <w:szCs w:val="16"/>
      </w:rPr>
      <w:t>304d</w:t>
    </w:r>
    <w:r w:rsidR="00724377">
      <w:rPr>
        <w:rFonts w:ascii="Calibri" w:hAnsi="Calibri"/>
        <w:sz w:val="16"/>
        <w:szCs w:val="16"/>
      </w:rPr>
      <w:t>_v</w:t>
    </w:r>
    <w:r>
      <w:rPr>
        <w:rFonts w:ascii="Calibri" w:hAnsi="Calibri"/>
        <w:sz w:val="16"/>
        <w:szCs w:val="16"/>
      </w:rPr>
      <w:t>1</w:t>
    </w:r>
    <w:r w:rsidR="004A2072">
      <w:rPr>
        <w:rFonts w:ascii="Calibri" w:hAnsi="Calibri"/>
        <w:sz w:val="16"/>
        <w:szCs w:val="16"/>
      </w:rPr>
      <w:t xml:space="preserve">.0 </w:t>
    </w:r>
    <w:r w:rsidR="00BF69D4">
      <w:rPr>
        <w:rFonts w:ascii="Calibri" w:hAnsi="Calibri"/>
        <w:sz w:val="16"/>
        <w:szCs w:val="16"/>
      </w:rPr>
      <w:t>–</w:t>
    </w:r>
    <w:r w:rsidR="004A2072">
      <w:rPr>
        <w:rFonts w:ascii="Calibri" w:hAnsi="Calibri"/>
        <w:sz w:val="16"/>
        <w:szCs w:val="16"/>
      </w:rPr>
      <w:t xml:space="preserve"> </w:t>
    </w:r>
    <w:r w:rsidR="00BF69D4">
      <w:rPr>
        <w:rFonts w:ascii="Calibri" w:hAnsi="Calibri"/>
        <w:sz w:val="16"/>
        <w:szCs w:val="16"/>
      </w:rPr>
      <w:t xml:space="preserve">EU Grant </w:t>
    </w:r>
    <w:r w:rsidR="004A2072">
      <w:rPr>
        <w:rFonts w:ascii="Calibri" w:hAnsi="Calibri"/>
        <w:sz w:val="16"/>
        <w:szCs w:val="16"/>
      </w:rPr>
      <w:t>Divi</w:t>
    </w:r>
    <w:r w:rsidR="00C61A16">
      <w:rPr>
        <w:rFonts w:ascii="Calibri" w:hAnsi="Calibri"/>
        <w:sz w:val="16"/>
        <w:szCs w:val="16"/>
      </w:rPr>
      <w:t xml:space="preserve">sion of </w:t>
    </w:r>
    <w:r>
      <w:rPr>
        <w:rFonts w:ascii="Calibri" w:hAnsi="Calibri"/>
        <w:sz w:val="16"/>
        <w:szCs w:val="16"/>
      </w:rPr>
      <w:t xml:space="preserve">Responsibilities </w:t>
    </w:r>
    <w:r w:rsidR="00BF69D4">
      <w:rPr>
        <w:rFonts w:ascii="Calibri" w:hAnsi="Calibri"/>
        <w:sz w:val="16"/>
        <w:szCs w:val="16"/>
      </w:rPr>
      <w:t>template 16 November 2017</w:t>
    </w:r>
    <w:r w:rsidR="004A2072">
      <w:rPr>
        <w:rFonts w:ascii="Calibri" w:hAnsi="Calibri"/>
        <w:sz w:val="16"/>
        <w:szCs w:val="16"/>
      </w:rPr>
      <w:tab/>
    </w:r>
    <w:r w:rsidR="004A2072">
      <w:rPr>
        <w:rFonts w:ascii="Calibri" w:hAnsi="Calibri"/>
        <w:sz w:val="16"/>
        <w:szCs w:val="16"/>
      </w:rPr>
      <w:tab/>
    </w:r>
    <w:r w:rsidR="004A2072">
      <w:rPr>
        <w:rFonts w:ascii="Calibri" w:hAnsi="Calibri"/>
        <w:sz w:val="16"/>
        <w:szCs w:val="16"/>
      </w:rPr>
      <w:tab/>
    </w:r>
    <w:r w:rsidR="004A2072">
      <w:rPr>
        <w:rFonts w:ascii="Calibri" w:hAnsi="Calibri"/>
        <w:sz w:val="16"/>
        <w:szCs w:val="16"/>
      </w:rPr>
      <w:tab/>
    </w:r>
    <w:r w:rsidR="004A2072">
      <w:rPr>
        <w:rFonts w:ascii="Calibri" w:hAnsi="Calibri"/>
        <w:sz w:val="16"/>
        <w:szCs w:val="16"/>
      </w:rPr>
      <w:tab/>
    </w:r>
    <w:r w:rsidR="004A2072">
      <w:rPr>
        <w:rFonts w:ascii="Calibri" w:hAnsi="Calibri"/>
        <w:sz w:val="16"/>
        <w:szCs w:val="16"/>
      </w:rPr>
      <w:tab/>
    </w:r>
    <w:r w:rsidR="004A2072">
      <w:rPr>
        <w:rFonts w:ascii="Calibri" w:hAnsi="Calibri"/>
        <w:sz w:val="16"/>
        <w:szCs w:val="16"/>
      </w:rPr>
      <w:tab/>
    </w:r>
    <w:r w:rsidR="004A2072">
      <w:rPr>
        <w:rFonts w:ascii="Calibri" w:hAnsi="Calibri"/>
        <w:sz w:val="16"/>
        <w:szCs w:val="16"/>
      </w:rPr>
      <w:tab/>
    </w:r>
    <w:r w:rsidR="004A2072">
      <w:rPr>
        <w:rFonts w:ascii="Calibri" w:hAnsi="Calibri"/>
        <w:sz w:val="16"/>
        <w:szCs w:val="16"/>
      </w:rPr>
      <w:tab/>
    </w:r>
    <w:r w:rsidR="004A2072" w:rsidRPr="0012102E">
      <w:rPr>
        <w:rFonts w:ascii="Calibri" w:hAnsi="Calibri"/>
        <w:sz w:val="16"/>
        <w:szCs w:val="16"/>
      </w:rPr>
      <w:t xml:space="preserve">Page </w:t>
    </w:r>
    <w:r w:rsidR="004A2072" w:rsidRPr="0012102E">
      <w:rPr>
        <w:rFonts w:ascii="Calibri" w:hAnsi="Calibri"/>
        <w:sz w:val="16"/>
        <w:szCs w:val="16"/>
      </w:rPr>
      <w:fldChar w:fldCharType="begin"/>
    </w:r>
    <w:r w:rsidR="004A2072" w:rsidRPr="0012102E">
      <w:rPr>
        <w:rFonts w:ascii="Calibri" w:hAnsi="Calibri"/>
        <w:sz w:val="16"/>
        <w:szCs w:val="16"/>
      </w:rPr>
      <w:instrText xml:space="preserve"> PAGE </w:instrText>
    </w:r>
    <w:r w:rsidR="004A2072" w:rsidRPr="0012102E">
      <w:rPr>
        <w:rFonts w:ascii="Calibri" w:hAnsi="Calibri"/>
        <w:sz w:val="16"/>
        <w:szCs w:val="16"/>
      </w:rPr>
      <w:fldChar w:fldCharType="separate"/>
    </w:r>
    <w:r w:rsidR="00841F4B">
      <w:rPr>
        <w:rFonts w:ascii="Calibri" w:hAnsi="Calibri"/>
        <w:noProof/>
        <w:sz w:val="16"/>
        <w:szCs w:val="16"/>
      </w:rPr>
      <w:t>2</w:t>
    </w:r>
    <w:r w:rsidR="004A2072" w:rsidRPr="0012102E">
      <w:rPr>
        <w:rFonts w:ascii="Calibri" w:hAnsi="Calibri"/>
        <w:sz w:val="16"/>
        <w:szCs w:val="16"/>
      </w:rPr>
      <w:fldChar w:fldCharType="end"/>
    </w:r>
    <w:r w:rsidR="004A2072" w:rsidRPr="0012102E">
      <w:rPr>
        <w:rFonts w:ascii="Calibri" w:hAnsi="Calibri"/>
        <w:sz w:val="16"/>
        <w:szCs w:val="16"/>
      </w:rPr>
      <w:t xml:space="preserve"> of </w:t>
    </w:r>
    <w:r w:rsidR="004A2072" w:rsidRPr="0012102E">
      <w:rPr>
        <w:rFonts w:ascii="Calibri" w:hAnsi="Calibri"/>
        <w:sz w:val="16"/>
        <w:szCs w:val="16"/>
      </w:rPr>
      <w:fldChar w:fldCharType="begin"/>
    </w:r>
    <w:r w:rsidR="004A2072" w:rsidRPr="0012102E">
      <w:rPr>
        <w:rFonts w:ascii="Calibri" w:hAnsi="Calibri"/>
        <w:sz w:val="16"/>
        <w:szCs w:val="16"/>
      </w:rPr>
      <w:instrText xml:space="preserve"> NUMPAGES  </w:instrText>
    </w:r>
    <w:r w:rsidR="004A2072" w:rsidRPr="0012102E">
      <w:rPr>
        <w:rFonts w:ascii="Calibri" w:hAnsi="Calibri"/>
        <w:sz w:val="16"/>
        <w:szCs w:val="16"/>
      </w:rPr>
      <w:fldChar w:fldCharType="separate"/>
    </w:r>
    <w:r w:rsidR="00841F4B">
      <w:rPr>
        <w:rFonts w:ascii="Calibri" w:hAnsi="Calibri"/>
        <w:noProof/>
        <w:sz w:val="16"/>
        <w:szCs w:val="16"/>
      </w:rPr>
      <w:t>5</w:t>
    </w:r>
    <w:r w:rsidR="004A2072" w:rsidRPr="0012102E">
      <w:rPr>
        <w:rFonts w:ascii="Calibri" w:hAnsi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72" w:rsidRPr="00D9366F" w:rsidRDefault="004A2072" w:rsidP="00BA03BC">
    <w:pPr>
      <w:spacing w:after="120"/>
      <w:rPr>
        <w:rStyle w:val="PageNumber"/>
        <w:rFonts w:ascii="Calibri" w:hAnsi="Calibri" w:cs="Arial"/>
        <w:sz w:val="16"/>
        <w:szCs w:val="16"/>
      </w:rPr>
    </w:pPr>
    <w:r w:rsidRPr="00D9366F">
      <w:rPr>
        <w:rStyle w:val="PageNumber"/>
        <w:rFonts w:ascii="Calibri" w:hAnsi="Calibri" w:cs="Arial"/>
        <w:sz w:val="16"/>
        <w:szCs w:val="16"/>
      </w:rPr>
      <w:t>© Copyright: The University of Oxford 2014</w:t>
    </w:r>
  </w:p>
  <w:p w:rsidR="004A2072" w:rsidRDefault="004A2072" w:rsidP="00024059">
    <w:pPr>
      <w:pStyle w:val="Footer"/>
      <w:tabs>
        <w:tab w:val="right" w:pos="9639"/>
      </w:tabs>
      <w:spacing w:after="0"/>
    </w:pPr>
    <w:r>
      <w:rPr>
        <w:rFonts w:ascii="Calibri" w:hAnsi="Calibri"/>
        <w:sz w:val="16"/>
        <w:szCs w:val="16"/>
      </w:rPr>
      <w:t>CTRG Form 306d_v1.0 - Division of Accountabilities   May 2014</w:t>
    </w:r>
    <w:r w:rsidRPr="0012102E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12102E">
      <w:rPr>
        <w:rFonts w:ascii="Calibri" w:hAnsi="Calibri"/>
        <w:sz w:val="16"/>
        <w:szCs w:val="16"/>
      </w:rPr>
      <w:t xml:space="preserve">Page </w:t>
    </w:r>
    <w:r w:rsidRPr="0012102E">
      <w:rPr>
        <w:rFonts w:ascii="Calibri" w:hAnsi="Calibri"/>
        <w:sz w:val="16"/>
        <w:szCs w:val="16"/>
      </w:rPr>
      <w:fldChar w:fldCharType="begin"/>
    </w:r>
    <w:r w:rsidRPr="0012102E">
      <w:rPr>
        <w:rFonts w:ascii="Calibri" w:hAnsi="Calibri"/>
        <w:sz w:val="16"/>
        <w:szCs w:val="16"/>
      </w:rPr>
      <w:instrText xml:space="preserve"> PAGE </w:instrText>
    </w:r>
    <w:r w:rsidRPr="0012102E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12102E">
      <w:rPr>
        <w:rFonts w:ascii="Calibri" w:hAnsi="Calibri"/>
        <w:sz w:val="16"/>
        <w:szCs w:val="16"/>
      </w:rPr>
      <w:fldChar w:fldCharType="end"/>
    </w:r>
    <w:r w:rsidRPr="0012102E">
      <w:rPr>
        <w:rFonts w:ascii="Calibri" w:hAnsi="Calibri"/>
        <w:sz w:val="16"/>
        <w:szCs w:val="16"/>
      </w:rPr>
      <w:t xml:space="preserve"> of </w:t>
    </w:r>
    <w:r w:rsidRPr="0012102E">
      <w:rPr>
        <w:rFonts w:ascii="Calibri" w:hAnsi="Calibri"/>
        <w:sz w:val="16"/>
        <w:szCs w:val="16"/>
      </w:rPr>
      <w:fldChar w:fldCharType="begin"/>
    </w:r>
    <w:r w:rsidRPr="0012102E">
      <w:rPr>
        <w:rFonts w:ascii="Calibri" w:hAnsi="Calibri"/>
        <w:sz w:val="16"/>
        <w:szCs w:val="16"/>
      </w:rPr>
      <w:instrText xml:space="preserve"> NUMPAGES  </w:instrText>
    </w:r>
    <w:r w:rsidRPr="0012102E">
      <w:rPr>
        <w:rFonts w:ascii="Calibri" w:hAnsi="Calibri"/>
        <w:sz w:val="16"/>
        <w:szCs w:val="16"/>
      </w:rPr>
      <w:fldChar w:fldCharType="separate"/>
    </w:r>
    <w:r w:rsidR="00C8605C">
      <w:rPr>
        <w:rFonts w:ascii="Calibri" w:hAnsi="Calibri"/>
        <w:noProof/>
        <w:sz w:val="16"/>
        <w:szCs w:val="16"/>
      </w:rPr>
      <w:t>10</w:t>
    </w:r>
    <w:r w:rsidRPr="0012102E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A9" w:rsidRDefault="00B635A9"/>
  </w:footnote>
  <w:footnote w:type="continuationSeparator" w:id="0">
    <w:p w:rsidR="00B635A9" w:rsidRDefault="00B635A9"/>
  </w:footnote>
  <w:footnote w:type="continuationNotice" w:id="1">
    <w:p w:rsidR="00B635A9" w:rsidRDefault="00B635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2" w:type="dxa"/>
      <w:tblInd w:w="-318" w:type="dxa"/>
      <w:tblLook w:val="01E0" w:firstRow="1" w:lastRow="1" w:firstColumn="1" w:lastColumn="1" w:noHBand="0" w:noVBand="0"/>
    </w:tblPr>
    <w:tblGrid>
      <w:gridCol w:w="3332"/>
      <w:gridCol w:w="11272"/>
    </w:tblGrid>
    <w:tr w:rsidR="004A2072" w:rsidTr="00FA6A5B">
      <w:trPr>
        <w:trHeight w:val="1588"/>
      </w:trPr>
      <w:tc>
        <w:tcPr>
          <w:tcW w:w="4131" w:type="dxa"/>
          <w:vAlign w:val="center"/>
        </w:tcPr>
        <w:p w:rsidR="004A2072" w:rsidRDefault="00215D8D" w:rsidP="00F872F6">
          <w:pPr>
            <w:spacing w:after="0"/>
            <w:rPr>
              <w:rFonts w:ascii="Arial Narrow" w:hAnsi="Arial Narrow"/>
              <w:b/>
              <w:sz w:val="24"/>
            </w:rPr>
          </w:pPr>
          <w:r w:rsidRPr="00BA03BC">
            <w:rPr>
              <w:rFonts w:ascii="Arial Narrow" w:hAnsi="Arial Narrow"/>
              <w:b/>
              <w:noProof/>
              <w:sz w:val="24"/>
              <w:lang w:eastAsia="en-GB"/>
            </w:rPr>
            <w:drawing>
              <wp:inline distT="0" distB="0" distL="0" distR="0">
                <wp:extent cx="2019300" cy="828675"/>
                <wp:effectExtent l="0" t="0" r="0" b="9525"/>
                <wp:docPr id="39" name="Picture 0" descr="CTRGLogoRGBUniLeft_WORDWEB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TRGLogoRGBUniLeft_WORDWEB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71" w:type="dxa"/>
          <w:vAlign w:val="bottom"/>
        </w:tcPr>
        <w:tbl>
          <w:tblPr>
            <w:tblW w:w="4977" w:type="pct"/>
            <w:tblLook w:val="04A0" w:firstRow="1" w:lastRow="0" w:firstColumn="1" w:lastColumn="0" w:noHBand="0" w:noVBand="1"/>
          </w:tblPr>
          <w:tblGrid>
            <w:gridCol w:w="11056"/>
          </w:tblGrid>
          <w:tr w:rsidR="004A2072" w:rsidRPr="004A2072" w:rsidTr="00EE3E4E">
            <w:trPr>
              <w:trHeight w:val="303"/>
            </w:trPr>
            <w:tc>
              <w:tcPr>
                <w:tcW w:w="5000" w:type="pct"/>
                <w:tcBorders>
                  <w:top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4A2072" w:rsidRPr="008E33F5" w:rsidRDefault="008E33F5" w:rsidP="008E33F5">
                <w:pPr>
                  <w:pStyle w:val="Title"/>
                  <w:jc w:val="right"/>
                  <w:rPr>
                    <w:rFonts w:asciiTheme="minorHAnsi" w:hAnsiTheme="minorHAnsi"/>
                  </w:rPr>
                </w:pPr>
                <w:r w:rsidRPr="00F9759F">
                  <w:rPr>
                    <w:rFonts w:asciiTheme="minorHAnsi" w:hAnsiTheme="minorHAnsi"/>
                  </w:rPr>
                  <w:t xml:space="preserve">Information on Clinical </w:t>
                </w:r>
                <w:r>
                  <w:rPr>
                    <w:rFonts w:asciiTheme="minorHAnsi" w:hAnsiTheme="minorHAnsi"/>
                  </w:rPr>
                  <w:t>T</w:t>
                </w:r>
                <w:r w:rsidRPr="00F9759F">
                  <w:rPr>
                    <w:rFonts w:asciiTheme="minorHAnsi" w:hAnsiTheme="minorHAnsi"/>
                  </w:rPr>
                  <w:t>rial</w:t>
                </w:r>
                <w:r>
                  <w:rPr>
                    <w:rFonts w:asciiTheme="minorHAnsi" w:hAnsiTheme="minorHAnsi"/>
                  </w:rPr>
                  <w:t>s</w:t>
                </w:r>
                <w:r w:rsidRPr="00F9759F">
                  <w:rPr>
                    <w:rFonts w:asciiTheme="minorHAnsi" w:hAnsiTheme="minorHAnsi"/>
                  </w:rPr>
                  <w:t xml:space="preserve"> for EU grants</w:t>
                </w:r>
                <w:r w:rsidR="00EE3E4E">
                  <w:rPr>
                    <w:rFonts w:asciiTheme="minorHAnsi" w:hAnsiTheme="minorHAnsi"/>
                  </w:rPr>
                  <w:t xml:space="preserve"> (an EU Grant Division of Responsibilities)</w:t>
                </w:r>
              </w:p>
            </w:tc>
          </w:tr>
          <w:tr w:rsidR="004A2072" w:rsidRPr="004A2072" w:rsidTr="00EE3E4E">
            <w:trPr>
              <w:trHeight w:val="1026"/>
            </w:trPr>
            <w:tc>
              <w:tcPr>
                <w:tcW w:w="5000" w:type="pct"/>
                <w:tcBorders>
                  <w:top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4A2072" w:rsidRDefault="008E33F5" w:rsidP="00A50DCE">
                <w:pPr>
                  <w:tabs>
                    <w:tab w:val="clear" w:pos="567"/>
                    <w:tab w:val="clear" w:pos="1134"/>
                    <w:tab w:val="clear" w:pos="1701"/>
                    <w:tab w:val="clear" w:pos="5670"/>
                    <w:tab w:val="clear" w:pos="9072"/>
                  </w:tabs>
                  <w:spacing w:after="0" w:line="276" w:lineRule="auto"/>
                  <w:jc w:val="right"/>
                  <w:rPr>
                    <w:rFonts w:ascii="Calibri" w:hAnsi="Calibri"/>
                    <w:bCs/>
                    <w:szCs w:val="22"/>
                    <w:lang w:eastAsia="en-GB"/>
                  </w:rPr>
                </w:pPr>
                <w:r>
                  <w:rPr>
                    <w:rFonts w:ascii="Calibri" w:hAnsi="Calibri"/>
                    <w:bCs/>
                    <w:szCs w:val="22"/>
                    <w:lang w:eastAsia="en-GB"/>
                  </w:rPr>
                  <w:t>Date and version  of document: &lt;insert&gt;</w:t>
                </w:r>
              </w:p>
              <w:p w:rsidR="008E33F5" w:rsidRDefault="008E33F5" w:rsidP="00A50DCE">
                <w:pPr>
                  <w:pStyle w:val="Title"/>
                  <w:spacing w:before="0" w:line="276" w:lineRule="auto"/>
                  <w:jc w:val="right"/>
                  <w:rPr>
                    <w:rFonts w:ascii="Calibri" w:eastAsia="Times New Roman" w:hAnsi="Calibri" w:cs="Times New Roman"/>
                    <w:b w:val="0"/>
                    <w:kern w:val="0"/>
                    <w:sz w:val="22"/>
                    <w:szCs w:val="22"/>
                    <w:lang w:eastAsia="en-GB"/>
                  </w:rPr>
                </w:pPr>
                <w:r w:rsidRPr="008E33F5">
                  <w:rPr>
                    <w:rFonts w:ascii="Calibri" w:eastAsia="Times New Roman" w:hAnsi="Calibri" w:cs="Times New Roman"/>
                    <w:b w:val="0"/>
                    <w:kern w:val="0"/>
                    <w:sz w:val="22"/>
                    <w:szCs w:val="22"/>
                    <w:lang w:eastAsia="en-GB"/>
                  </w:rPr>
                  <w:t>Study title: &lt;insert name&gt;</w:t>
                </w:r>
              </w:p>
              <w:p w:rsidR="00A50DCE" w:rsidRPr="00A50DCE" w:rsidRDefault="00A50DCE" w:rsidP="00A50DCE">
                <w:pPr>
                  <w:spacing w:line="276" w:lineRule="auto"/>
                  <w:jc w:val="right"/>
                  <w:rPr>
                    <w:lang w:eastAsia="en-GB"/>
                  </w:rPr>
                </w:pPr>
                <w:r w:rsidRPr="00A50DCE">
                  <w:rPr>
                    <w:rFonts w:ascii="Calibri" w:hAnsi="Calibri"/>
                    <w:szCs w:val="22"/>
                    <w:lang w:eastAsia="en-GB"/>
                  </w:rPr>
                  <w:t>Study reference: &lt;insert details&gt;</w:t>
                </w:r>
              </w:p>
            </w:tc>
          </w:tr>
        </w:tbl>
        <w:p w:rsidR="004A2072" w:rsidRDefault="004A2072" w:rsidP="00FA6A5B">
          <w:pPr>
            <w:tabs>
              <w:tab w:val="left" w:pos="425"/>
            </w:tabs>
            <w:spacing w:after="120"/>
            <w:rPr>
              <w:rFonts w:ascii="Arial Narrow" w:hAnsi="Arial Narrow"/>
              <w:b/>
              <w:color w:val="000000"/>
              <w:sz w:val="24"/>
            </w:rPr>
          </w:pPr>
        </w:p>
      </w:tc>
    </w:tr>
  </w:tbl>
  <w:p w:rsidR="004A2072" w:rsidRDefault="004A2072" w:rsidP="005C1AC1">
    <w:pPr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2" w:type="dxa"/>
      <w:tblInd w:w="-318" w:type="dxa"/>
      <w:tblLook w:val="01E0" w:firstRow="1" w:lastRow="1" w:firstColumn="1" w:lastColumn="1" w:noHBand="0" w:noVBand="0"/>
    </w:tblPr>
    <w:tblGrid>
      <w:gridCol w:w="4821"/>
      <w:gridCol w:w="9781"/>
    </w:tblGrid>
    <w:tr w:rsidR="004A2072" w:rsidTr="008D6A3E">
      <w:trPr>
        <w:trHeight w:val="1588"/>
      </w:trPr>
      <w:tc>
        <w:tcPr>
          <w:tcW w:w="4821" w:type="dxa"/>
          <w:vAlign w:val="center"/>
        </w:tcPr>
        <w:p w:rsidR="004A2072" w:rsidRDefault="00215D8D" w:rsidP="00581272">
          <w:pPr>
            <w:spacing w:after="0"/>
            <w:rPr>
              <w:rFonts w:ascii="Arial Narrow" w:hAnsi="Arial Narrow"/>
              <w:b/>
              <w:sz w:val="24"/>
            </w:rPr>
          </w:pPr>
          <w:r w:rsidRPr="00BA03BC">
            <w:rPr>
              <w:rFonts w:ascii="Arial Narrow" w:hAnsi="Arial Narrow"/>
              <w:b/>
              <w:noProof/>
              <w:sz w:val="24"/>
              <w:lang w:eastAsia="en-GB"/>
            </w:rPr>
            <w:drawing>
              <wp:inline distT="0" distB="0" distL="0" distR="0">
                <wp:extent cx="2638425" cy="1085850"/>
                <wp:effectExtent l="0" t="0" r="9525" b="0"/>
                <wp:docPr id="40" name="Picture 0" descr="CTRGLogoRGBUniLeft_WORDWEB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TRGLogoRGBUniLeft_WORDWEB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vAlign w:val="center"/>
        </w:tcPr>
        <w:p w:rsidR="004A2072" w:rsidRPr="00D9366F" w:rsidRDefault="004A2072" w:rsidP="00BA03BC">
          <w:pPr>
            <w:spacing w:after="120"/>
            <w:rPr>
              <w:rFonts w:ascii="Calibri" w:hAnsi="Calibri"/>
              <w:color w:val="FF0000"/>
              <w:sz w:val="24"/>
            </w:rPr>
          </w:pPr>
          <w:r w:rsidRPr="00D9366F">
            <w:rPr>
              <w:rFonts w:ascii="Calibri" w:hAnsi="Calibri"/>
              <w:b/>
              <w:sz w:val="24"/>
            </w:rPr>
            <w:t>Study Title:</w:t>
          </w:r>
          <w:r w:rsidRPr="00D9366F">
            <w:rPr>
              <w:rFonts w:ascii="Calibri" w:hAnsi="Calibri"/>
              <w:color w:val="FF0000"/>
              <w:sz w:val="24"/>
            </w:rPr>
            <w:t xml:space="preserve"> full title</w:t>
          </w:r>
        </w:p>
        <w:p w:rsidR="004A2072" w:rsidRPr="00D9366F" w:rsidRDefault="004A2072" w:rsidP="00BA03BC">
          <w:pPr>
            <w:spacing w:after="120"/>
            <w:rPr>
              <w:rFonts w:ascii="Calibri" w:hAnsi="Calibri"/>
              <w:b/>
              <w:sz w:val="24"/>
            </w:rPr>
          </w:pPr>
          <w:r w:rsidRPr="00D9366F">
            <w:rPr>
              <w:rFonts w:ascii="Calibri" w:hAnsi="Calibri"/>
              <w:b/>
              <w:sz w:val="24"/>
            </w:rPr>
            <w:t xml:space="preserve">EudraCT number: </w:t>
          </w:r>
        </w:p>
        <w:p w:rsidR="004A2072" w:rsidRDefault="004A2072" w:rsidP="00BA03BC">
          <w:pPr>
            <w:tabs>
              <w:tab w:val="left" w:pos="425"/>
            </w:tabs>
            <w:spacing w:after="120"/>
            <w:rPr>
              <w:rFonts w:ascii="Arial Narrow" w:hAnsi="Arial Narrow"/>
              <w:b/>
              <w:color w:val="000000"/>
              <w:sz w:val="24"/>
            </w:rPr>
          </w:pPr>
          <w:r w:rsidRPr="00D9366F">
            <w:rPr>
              <w:rFonts w:ascii="Calibri" w:hAnsi="Calibri"/>
              <w:b/>
              <w:color w:val="000000"/>
              <w:sz w:val="24"/>
            </w:rPr>
            <w:t xml:space="preserve">Chief Investigator:  </w:t>
          </w:r>
        </w:p>
      </w:tc>
    </w:tr>
  </w:tbl>
  <w:p w:rsidR="004A2072" w:rsidRDefault="004A20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4326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55EF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B1C37"/>
    <w:multiLevelType w:val="multilevel"/>
    <w:tmpl w:val="5CC6ACBC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3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E4571F8"/>
    <w:multiLevelType w:val="hybridMultilevel"/>
    <w:tmpl w:val="F836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06369"/>
    <w:multiLevelType w:val="multilevel"/>
    <w:tmpl w:val="36387F7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1701" w:hanging="1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972B47"/>
    <w:multiLevelType w:val="hybridMultilevel"/>
    <w:tmpl w:val="E76491D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CBA7B42"/>
    <w:multiLevelType w:val="multilevel"/>
    <w:tmpl w:val="3850BD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5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6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9E3F5D"/>
    <w:multiLevelType w:val="hybridMultilevel"/>
    <w:tmpl w:val="099A9920"/>
    <w:lvl w:ilvl="0" w:tplc="1DACBB4C">
      <w:numFmt w:val="bullet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13"/>
  </w:num>
  <w:num w:numId="7">
    <w:abstractNumId w:val="10"/>
  </w:num>
  <w:num w:numId="8">
    <w:abstractNumId w:val="16"/>
  </w:num>
  <w:num w:numId="9">
    <w:abstractNumId w:val="17"/>
  </w:num>
  <w:num w:numId="10">
    <w:abstractNumId w:val="3"/>
  </w:num>
  <w:num w:numId="11">
    <w:abstractNumId w:val="1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18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6"/>
  </w:num>
  <w:num w:numId="27">
    <w:abstractNumId w:val="2"/>
  </w:num>
  <w:num w:numId="28">
    <w:abstractNumId w:val="15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doNotTrackFormatting/>
  <w:defaultTabStop w:val="56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AA"/>
    <w:rsid w:val="00024059"/>
    <w:rsid w:val="00036426"/>
    <w:rsid w:val="00072AA2"/>
    <w:rsid w:val="000C5EC9"/>
    <w:rsid w:val="001668EA"/>
    <w:rsid w:val="00187886"/>
    <w:rsid w:val="001C260D"/>
    <w:rsid w:val="00215D8D"/>
    <w:rsid w:val="0022000E"/>
    <w:rsid w:val="00220FC3"/>
    <w:rsid w:val="00231762"/>
    <w:rsid w:val="002324CA"/>
    <w:rsid w:val="002733D9"/>
    <w:rsid w:val="0028232E"/>
    <w:rsid w:val="002A0AAA"/>
    <w:rsid w:val="00395AEE"/>
    <w:rsid w:val="003A253A"/>
    <w:rsid w:val="003B484E"/>
    <w:rsid w:val="003D0324"/>
    <w:rsid w:val="003D70DE"/>
    <w:rsid w:val="003F067A"/>
    <w:rsid w:val="00412807"/>
    <w:rsid w:val="004A2072"/>
    <w:rsid w:val="004B6F6C"/>
    <w:rsid w:val="004C1CD2"/>
    <w:rsid w:val="004C2E4F"/>
    <w:rsid w:val="004F08B2"/>
    <w:rsid w:val="004F60AE"/>
    <w:rsid w:val="00505868"/>
    <w:rsid w:val="00542004"/>
    <w:rsid w:val="00552569"/>
    <w:rsid w:val="00581272"/>
    <w:rsid w:val="005C1AC1"/>
    <w:rsid w:val="005D2A79"/>
    <w:rsid w:val="005E5AAB"/>
    <w:rsid w:val="00694A6F"/>
    <w:rsid w:val="00697377"/>
    <w:rsid w:val="006A4C7A"/>
    <w:rsid w:val="006B1651"/>
    <w:rsid w:val="006E52E6"/>
    <w:rsid w:val="006F1E7A"/>
    <w:rsid w:val="00711DAB"/>
    <w:rsid w:val="00722FC0"/>
    <w:rsid w:val="00724377"/>
    <w:rsid w:val="00755C22"/>
    <w:rsid w:val="007933BE"/>
    <w:rsid w:val="007976CB"/>
    <w:rsid w:val="007B1936"/>
    <w:rsid w:val="007C499E"/>
    <w:rsid w:val="0081008C"/>
    <w:rsid w:val="00817680"/>
    <w:rsid w:val="0084083C"/>
    <w:rsid w:val="00841F4B"/>
    <w:rsid w:val="00871944"/>
    <w:rsid w:val="00874840"/>
    <w:rsid w:val="008D6A3E"/>
    <w:rsid w:val="008E33F5"/>
    <w:rsid w:val="008F1570"/>
    <w:rsid w:val="009467E3"/>
    <w:rsid w:val="00971790"/>
    <w:rsid w:val="0097610C"/>
    <w:rsid w:val="009F69A2"/>
    <w:rsid w:val="00A026A2"/>
    <w:rsid w:val="00A212B8"/>
    <w:rsid w:val="00A50DCE"/>
    <w:rsid w:val="00A5613A"/>
    <w:rsid w:val="00A87CA7"/>
    <w:rsid w:val="00AD4E2D"/>
    <w:rsid w:val="00B3738B"/>
    <w:rsid w:val="00B4260F"/>
    <w:rsid w:val="00B459CC"/>
    <w:rsid w:val="00B635A9"/>
    <w:rsid w:val="00B97F67"/>
    <w:rsid w:val="00BA03BC"/>
    <w:rsid w:val="00BC7251"/>
    <w:rsid w:val="00BD2778"/>
    <w:rsid w:val="00BD4023"/>
    <w:rsid w:val="00BE0264"/>
    <w:rsid w:val="00BE7281"/>
    <w:rsid w:val="00BF69D4"/>
    <w:rsid w:val="00C61A16"/>
    <w:rsid w:val="00C61CAC"/>
    <w:rsid w:val="00C8605C"/>
    <w:rsid w:val="00C933FA"/>
    <w:rsid w:val="00CC7222"/>
    <w:rsid w:val="00CD719E"/>
    <w:rsid w:val="00D36946"/>
    <w:rsid w:val="00D4346F"/>
    <w:rsid w:val="00D93557"/>
    <w:rsid w:val="00D9366F"/>
    <w:rsid w:val="00DE0E93"/>
    <w:rsid w:val="00DF0A9A"/>
    <w:rsid w:val="00E23663"/>
    <w:rsid w:val="00E27847"/>
    <w:rsid w:val="00E3097E"/>
    <w:rsid w:val="00E905AE"/>
    <w:rsid w:val="00EA0843"/>
    <w:rsid w:val="00EB2187"/>
    <w:rsid w:val="00EC4128"/>
    <w:rsid w:val="00EE3E4E"/>
    <w:rsid w:val="00EE502A"/>
    <w:rsid w:val="00EF3FD0"/>
    <w:rsid w:val="00F21712"/>
    <w:rsid w:val="00F431D4"/>
    <w:rsid w:val="00F61EDD"/>
    <w:rsid w:val="00F66E06"/>
    <w:rsid w:val="00F8715F"/>
    <w:rsid w:val="00F872F6"/>
    <w:rsid w:val="00F9759F"/>
    <w:rsid w:val="00FA6A5B"/>
    <w:rsid w:val="00FB3E85"/>
    <w:rsid w:val="00FC5969"/>
    <w:rsid w:val="00F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599B3695-377F-4521-BC04-E1099E74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5670"/>
        <w:tab w:val="right" w:pos="9072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lear" w:pos="567"/>
        <w:tab w:val="clear" w:pos="1134"/>
        <w:tab w:val="clear" w:pos="1701"/>
        <w:tab w:val="clear" w:pos="5670"/>
        <w:tab w:val="clear" w:pos="9072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lear" w:pos="5670"/>
        <w:tab w:val="clear" w:pos="9072"/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9366F"/>
    <w:rPr>
      <w:rFonts w:ascii="Arial" w:hAnsi="Arial"/>
      <w:sz w:val="22"/>
      <w:szCs w:val="24"/>
      <w:lang w:eastAsia="en-US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840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74840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C1C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C1CD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D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support.admin.ox.ac.uk/ctrg/resourc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EC12-9D89-4C08-929B-46C2337F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5755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DELEGATION OF SPONSOR RESPONSIBILITIES TO CHIEF INVESTIGATOR</vt:lpstr>
    </vt:vector>
  </TitlesOfParts>
  <Company>University of Oxford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DELEGATION OF SPONSOR RESPONSIBILITIES TO CHIEF INVESTIGATOR</dc:title>
  <dc:subject/>
  <dc:creator>Marion Watson</dc:creator>
  <cp:keywords/>
  <dc:description/>
  <cp:lastModifiedBy>Gaelle Jolly</cp:lastModifiedBy>
  <cp:revision>2</cp:revision>
  <cp:lastPrinted>2017-01-31T12:00:00Z</cp:lastPrinted>
  <dcterms:created xsi:type="dcterms:W3CDTF">2018-01-18T15:33:00Z</dcterms:created>
  <dcterms:modified xsi:type="dcterms:W3CDTF">2018-01-18T15:33:00Z</dcterms:modified>
</cp:coreProperties>
</file>